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bidi w:val="0"/>
        <w:spacing w:line="280" w:lineRule="atLeast"/>
        <w:ind w:left="0" w:right="0" w:firstLine="0"/>
        <w:jc w:val="left"/>
        <w:rPr>
          <w:rFonts w:ascii="Helvetica" w:cs="Helvetica" w:hAnsi="Helvetica" w:eastAsia="Helvetica"/>
          <w:sz w:val="24"/>
          <w:szCs w:val="24"/>
          <w:shd w:val="clear" w:color="auto" w:fill="ffffff"/>
          <w:rtl w:val="0"/>
        </w:rPr>
      </w:pPr>
      <w:r>
        <w:rPr>
          <w:rFonts w:ascii="Helvetica" w:hAnsi="Helvetica"/>
          <w:sz w:val="24"/>
          <w:szCs w:val="24"/>
          <w:shd w:val="clear" w:color="auto" w:fill="ffffff"/>
          <w:rtl w:val="0"/>
        </w:rPr>
        <w:t xml:space="preserve"> </w:t>
      </w:r>
    </w:p>
    <w:p>
      <w:pPr>
        <w:pStyle w:val="Standaard"/>
        <w:bidi w:val="0"/>
        <w:spacing w:line="280" w:lineRule="atLeast"/>
        <w:ind w:left="0" w:right="0" w:firstLine="0"/>
        <w:jc w:val="left"/>
        <w:rPr>
          <w:rFonts w:ascii="Helvetica" w:cs="Helvetica" w:hAnsi="Helvetica" w:eastAsia="Helvetica"/>
          <w:sz w:val="24"/>
          <w:szCs w:val="24"/>
          <w:shd w:val="clear" w:color="auto" w:fill="ffffff"/>
          <w:rtl w:val="0"/>
        </w:rPr>
      </w:pPr>
    </w:p>
    <w:p>
      <w:pPr>
        <w:pStyle w:val="Hoofdtekst"/>
        <w:rPr>
          <w:rFonts w:ascii="Helvetica" w:cs="Helvetica" w:hAnsi="Helvetica" w:eastAsia="Helvetica"/>
          <w:sz w:val="24"/>
          <w:szCs w:val="24"/>
        </w:rPr>
      </w:pPr>
    </w:p>
    <w:p>
      <w:pPr>
        <w:pStyle w:val="Hoofdtekst"/>
        <w:jc w:val="center"/>
        <w:rPr>
          <w:rFonts w:ascii="Helvetica" w:cs="Helvetica" w:hAnsi="Helvetica" w:eastAsia="Helvetica"/>
          <w:b w:val="1"/>
          <w:bCs w:val="1"/>
          <w:sz w:val="24"/>
          <w:szCs w:val="24"/>
        </w:rPr>
      </w:pPr>
      <w:r>
        <w:rPr>
          <w:rFonts w:ascii="Helvetica" w:hAnsi="Helvetica"/>
          <w:b w:val="1"/>
          <w:bCs w:val="1"/>
          <w:sz w:val="24"/>
          <w:szCs w:val="24"/>
          <w:rtl w:val="0"/>
          <w:lang w:val="nl-NL"/>
        </w:rPr>
        <w:t>Motie handhaven foutparkeren</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 xml:space="preserve">De raad van Groningen, in vergadering bijeen op 22 mei 2019, besprekende de </w:t>
      </w:r>
      <w:r>
        <w:rPr>
          <w:rFonts w:ascii="Helvetica" w:hAnsi="Helvetica" w:hint="default"/>
          <w:sz w:val="24"/>
          <w:szCs w:val="24"/>
          <w:rtl w:val="0"/>
          <w:lang w:val="nl-NL"/>
        </w:rPr>
        <w:t>‘</w:t>
      </w:r>
      <w:r>
        <w:rPr>
          <w:rFonts w:ascii="Helvetica" w:hAnsi="Helvetica"/>
          <w:sz w:val="24"/>
          <w:szCs w:val="24"/>
          <w:rtl w:val="0"/>
          <w:lang w:val="nl-NL"/>
        </w:rPr>
        <w:t>gemeentebegroting 2019 en de voorjaarsbrief</w:t>
      </w:r>
      <w:r>
        <w:rPr>
          <w:rFonts w:ascii="Helvetica" w:hAnsi="Helvetica" w:hint="default"/>
          <w:sz w:val="24"/>
          <w:szCs w:val="24"/>
          <w:rtl w:val="0"/>
          <w:lang w:val="nl-NL"/>
        </w:rPr>
        <w:t>’</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 xml:space="preserve">constaterende dat  </w:t>
      </w:r>
    </w:p>
    <w:p>
      <w:pPr>
        <w:pStyle w:val="Hoofdtekst"/>
        <w:rPr>
          <w:rFonts w:ascii="Helvetica" w:cs="Helvetica" w:hAnsi="Helvetica" w:eastAsia="Helvetica"/>
          <w:sz w:val="24"/>
          <w:szCs w:val="24"/>
        </w:rPr>
      </w:pPr>
    </w:p>
    <w:p>
      <w:pPr>
        <w:pStyle w:val="Hoofdtekst"/>
        <w:numPr>
          <w:ilvl w:val="0"/>
          <w:numId w:val="2"/>
        </w:numPr>
        <w:rPr>
          <w:rFonts w:ascii="Helvetica" w:hAnsi="Helvetica"/>
          <w:sz w:val="24"/>
          <w:szCs w:val="24"/>
          <w:lang w:val="nl-NL"/>
        </w:rPr>
      </w:pPr>
      <w:r>
        <w:rPr>
          <w:rFonts w:ascii="Helvetica" w:hAnsi="Helvetica"/>
          <w:sz w:val="24"/>
          <w:szCs w:val="24"/>
          <w:rtl w:val="0"/>
          <w:lang w:val="nl-NL"/>
        </w:rPr>
        <w:t>foutparkeren een grote ergernis is van inwoners van Groningen en ook tot onwenselijke en zelfs gevaarlijke situaties kan leiden;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de kosten voor het handhaven van foutparkeren voor rekening van de gemeente zijn;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de opbrengsten via boetes van het handhaven van foutparkeren als gevolg van de zogenaamde wet Mulder niet bij de gemeente terecht komen;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mede daardoor de handhaving van foutparkeren een lage prioriteit kent;</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overwegende dat</w:t>
      </w:r>
    </w:p>
    <w:p>
      <w:pPr>
        <w:pStyle w:val="Hoofdtekst"/>
        <w:rPr>
          <w:rFonts w:ascii="Helvetica" w:cs="Helvetica" w:hAnsi="Helvetica" w:eastAsia="Helvetica"/>
          <w:sz w:val="24"/>
          <w:szCs w:val="24"/>
        </w:rPr>
      </w:pPr>
    </w:p>
    <w:p>
      <w:pPr>
        <w:pStyle w:val="Hoofdtekst"/>
        <w:numPr>
          <w:ilvl w:val="0"/>
          <w:numId w:val="2"/>
        </w:numPr>
        <w:rPr>
          <w:rFonts w:ascii="Helvetica" w:hAnsi="Helvetica"/>
          <w:sz w:val="24"/>
          <w:szCs w:val="24"/>
          <w:lang w:val="nl-NL"/>
        </w:rPr>
      </w:pPr>
      <w:r>
        <w:rPr>
          <w:rFonts w:ascii="Helvetica" w:hAnsi="Helvetica"/>
          <w:sz w:val="24"/>
          <w:szCs w:val="24"/>
          <w:rtl w:val="0"/>
          <w:lang w:val="nl-NL"/>
        </w:rPr>
        <w:t>er een grote wens bestaat dat de openbare ruimte herwonnen wordt;</w:t>
      </w:r>
    </w:p>
    <w:p>
      <w:pPr>
        <w:pStyle w:val="Hoofdtekst"/>
        <w:numPr>
          <w:ilvl w:val="0"/>
          <w:numId w:val="2"/>
        </w:numPr>
        <w:rPr>
          <w:rFonts w:ascii="Helvetica" w:hAnsi="Helvetica"/>
          <w:sz w:val="24"/>
          <w:szCs w:val="24"/>
          <w:lang w:val="nl-NL"/>
        </w:rPr>
      </w:pPr>
      <w:r>
        <w:rPr>
          <w:rFonts w:ascii="Helvetica" w:hAnsi="Helvetica"/>
          <w:sz w:val="24"/>
          <w:szCs w:val="24"/>
          <w:rtl w:val="0"/>
          <w:lang w:val="nl-NL"/>
        </w:rPr>
        <w:t>de gemeente Groningen sinds enige tijd scanauto</w:t>
      </w:r>
      <w:r>
        <w:rPr>
          <w:rFonts w:ascii="Helvetica" w:hAnsi="Helvetica" w:hint="default"/>
          <w:sz w:val="24"/>
          <w:szCs w:val="24"/>
          <w:rtl w:val="0"/>
          <w:lang w:val="nl-NL"/>
        </w:rPr>
        <w:t>’</w:t>
      </w:r>
      <w:r>
        <w:rPr>
          <w:rFonts w:ascii="Helvetica" w:hAnsi="Helvetica"/>
          <w:sz w:val="24"/>
          <w:szCs w:val="24"/>
          <w:rtl w:val="0"/>
          <w:lang w:val="nl-NL"/>
        </w:rPr>
        <w:t>s inzet bij het handhaven van betaald parkeren;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de scanauto</w:t>
      </w:r>
      <w:r>
        <w:rPr>
          <w:rFonts w:ascii="Helvetica" w:hAnsi="Helvetica" w:hint="default"/>
          <w:sz w:val="24"/>
          <w:szCs w:val="24"/>
          <w:rtl w:val="0"/>
          <w:lang w:val="nl-NL"/>
        </w:rPr>
        <w:t>’</w:t>
      </w:r>
      <w:r>
        <w:rPr>
          <w:rFonts w:ascii="Helvetica" w:hAnsi="Helvetica"/>
          <w:sz w:val="24"/>
          <w:szCs w:val="24"/>
          <w:rtl w:val="0"/>
          <w:lang w:val="nl-NL"/>
        </w:rPr>
        <w:t>s ook zo ku</w:t>
      </w:r>
      <w:r>
        <w:drawing>
          <wp:anchor distT="152400" distB="152400" distL="152400" distR="152400" simplePos="0" relativeHeight="251659264" behindDoc="0" locked="0" layoutInCell="1" allowOverlap="1">
            <wp:simplePos x="0" y="0"/>
            <wp:positionH relativeFrom="page">
              <wp:posOffset>5455158</wp:posOffset>
            </wp:positionH>
            <wp:positionV relativeFrom="page">
              <wp:posOffset>476160</wp:posOffset>
            </wp:positionV>
            <wp:extent cx="852042" cy="1113560"/>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4">
                      <a:extLst/>
                    </a:blip>
                    <a:stretch>
                      <a:fillRect/>
                    </a:stretch>
                  </pic:blipFill>
                  <pic:spPr>
                    <a:xfrm>
                      <a:off x="0" y="0"/>
                      <a:ext cx="852042" cy="1113560"/>
                    </a:xfrm>
                    <a:prstGeom prst="rect">
                      <a:avLst/>
                    </a:prstGeom>
                    <a:ln w="12700" cap="flat">
                      <a:noFill/>
                      <a:miter lim="400000"/>
                    </a:ln>
                    <a:effectLst/>
                  </pic:spPr>
                </pic:pic>
              </a:graphicData>
            </a:graphic>
          </wp:anchor>
        </w:drawing>
      </w:r>
      <w:r>
        <w:drawing>
          <wp:anchor distT="0" distB="0" distL="0" distR="0" simplePos="0" relativeHeight="251660288" behindDoc="0" locked="0" layoutInCell="1" allowOverlap="1">
            <wp:simplePos x="0" y="0"/>
            <wp:positionH relativeFrom="page">
              <wp:posOffset>466000</wp:posOffset>
            </wp:positionH>
            <wp:positionV relativeFrom="page">
              <wp:posOffset>476001</wp:posOffset>
            </wp:positionV>
            <wp:extent cx="1485382" cy="1324563"/>
            <wp:effectExtent l="0" t="0" r="0" b="0"/>
            <wp:wrapTopAndBottom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image48206096.jpg"/>
                    <pic:cNvPicPr>
                      <a:picLocks noChangeAspect="1"/>
                    </pic:cNvPicPr>
                  </pic:nvPicPr>
                  <pic:blipFill>
                    <a:blip r:embed="rId5">
                      <a:extLst/>
                    </a:blip>
                    <a:srcRect l="0" t="0" r="0" b="10931"/>
                    <a:stretch>
                      <a:fillRect/>
                    </a:stretch>
                  </pic:blipFill>
                  <pic:spPr>
                    <a:xfrm>
                      <a:off x="0" y="0"/>
                      <a:ext cx="1485382" cy="1324563"/>
                    </a:xfrm>
                    <a:prstGeom prst="rect">
                      <a:avLst/>
                    </a:prstGeom>
                    <a:ln w="12700" cap="flat">
                      <a:noFill/>
                      <a:miter lim="400000"/>
                    </a:ln>
                    <a:effectLst/>
                  </pic:spPr>
                </pic:pic>
              </a:graphicData>
            </a:graphic>
          </wp:anchor>
        </w:drawing>
      </w:r>
      <w:r>
        <w:drawing>
          <wp:anchor distT="0" distB="0" distL="0" distR="0" simplePos="0" relativeHeight="251661312" behindDoc="0" locked="0" layoutInCell="1" allowOverlap="1">
            <wp:simplePos x="0" y="0"/>
            <wp:positionH relativeFrom="page">
              <wp:posOffset>2404291</wp:posOffset>
            </wp:positionH>
            <wp:positionV relativeFrom="page">
              <wp:posOffset>1288960</wp:posOffset>
            </wp:positionV>
            <wp:extent cx="2271088" cy="377999"/>
            <wp:effectExtent l="0" t="0" r="0" b="0"/>
            <wp:wrapTopAndBottom distT="0" dist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image48205888.jpg"/>
                    <pic:cNvPicPr>
                      <a:picLocks noChangeAspect="1"/>
                    </pic:cNvPicPr>
                  </pic:nvPicPr>
                  <pic:blipFill>
                    <a:blip r:embed="rId6">
                      <a:extLst/>
                    </a:blip>
                    <a:stretch>
                      <a:fillRect/>
                    </a:stretch>
                  </pic:blipFill>
                  <pic:spPr>
                    <a:xfrm>
                      <a:off x="0" y="0"/>
                      <a:ext cx="2271088" cy="377999"/>
                    </a:xfrm>
                    <a:prstGeom prst="rect">
                      <a:avLst/>
                    </a:prstGeom>
                    <a:ln w="12700" cap="flat">
                      <a:noFill/>
                      <a:miter lim="400000"/>
                    </a:ln>
                    <a:effectLst/>
                  </pic:spPr>
                </pic:pic>
              </a:graphicData>
            </a:graphic>
          </wp:anchor>
        </w:drawing>
      </w:r>
      <w:r>
        <w:drawing>
          <wp:anchor distT="152400" distB="152400" distL="152400" distR="152400" simplePos="0" relativeHeight="251662336" behindDoc="0" locked="0" layoutInCell="1" allowOverlap="1">
            <wp:simplePos x="0" y="0"/>
            <wp:positionH relativeFrom="page">
              <wp:posOffset>2958899</wp:posOffset>
            </wp:positionH>
            <wp:positionV relativeFrom="page">
              <wp:posOffset>476160</wp:posOffset>
            </wp:positionV>
            <wp:extent cx="1161870" cy="642737"/>
            <wp:effectExtent l="0" t="0" r="0" b="0"/>
            <wp:wrapTopAndBottom distT="152400" distB="15240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tiff"/>
                    <pic:cNvPicPr>
                      <a:picLocks noChangeAspect="1"/>
                    </pic:cNvPicPr>
                  </pic:nvPicPr>
                  <pic:blipFill>
                    <a:blip r:embed="rId7">
                      <a:extLst/>
                    </a:blip>
                    <a:stretch>
                      <a:fillRect/>
                    </a:stretch>
                  </pic:blipFill>
                  <pic:spPr>
                    <a:xfrm>
                      <a:off x="0" y="0"/>
                      <a:ext cx="1161870" cy="642737"/>
                    </a:xfrm>
                    <a:prstGeom prst="rect">
                      <a:avLst/>
                    </a:prstGeom>
                    <a:ln w="12700" cap="flat">
                      <a:noFill/>
                      <a:miter lim="400000"/>
                    </a:ln>
                    <a:effectLst/>
                  </pic:spPr>
                </pic:pic>
              </a:graphicData>
            </a:graphic>
          </wp:anchor>
        </w:drawing>
      </w:r>
      <w:r>
        <w:rPr>
          <w:rFonts w:ascii="Helvetica" w:hAnsi="Helvetica"/>
          <w:sz w:val="24"/>
          <w:szCs w:val="24"/>
          <w:rtl w:val="0"/>
          <w:lang w:val="nl-NL"/>
        </w:rPr>
        <w:t>nnen worden uitgerust dat ze foutparkeren handhaven;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door de inzet van een scanauto de kosten voor het handhaven van foutparkeren lager worden;</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verzoekt het college</w:t>
      </w:r>
    </w:p>
    <w:p>
      <w:pPr>
        <w:pStyle w:val="Hoofdtekst"/>
        <w:rPr>
          <w:rFonts w:ascii="Helvetica" w:cs="Helvetica" w:hAnsi="Helvetica" w:eastAsia="Helvetica"/>
          <w:sz w:val="24"/>
          <w:szCs w:val="24"/>
        </w:rPr>
      </w:pPr>
    </w:p>
    <w:p>
      <w:pPr>
        <w:pStyle w:val="Hoofdtekst"/>
        <w:numPr>
          <w:ilvl w:val="0"/>
          <w:numId w:val="2"/>
        </w:numPr>
        <w:rPr>
          <w:rFonts w:ascii="Helvetica" w:hAnsi="Helvetica"/>
          <w:sz w:val="24"/>
          <w:szCs w:val="24"/>
          <w:lang w:val="nl-NL"/>
        </w:rPr>
      </w:pPr>
      <w:r>
        <w:rPr>
          <w:rFonts w:ascii="Helvetica" w:hAnsi="Helvetica"/>
          <w:sz w:val="24"/>
          <w:szCs w:val="24"/>
          <w:rtl w:val="0"/>
          <w:lang w:val="nl-NL"/>
        </w:rPr>
        <w:t>inzichtelijk te maken op welke manier het gebruik van scanauto</w:t>
      </w:r>
      <w:r>
        <w:rPr>
          <w:rFonts w:ascii="Helvetica" w:hAnsi="Helvetica" w:hint="default"/>
          <w:sz w:val="24"/>
          <w:szCs w:val="24"/>
          <w:rtl w:val="0"/>
          <w:lang w:val="nl-NL"/>
        </w:rPr>
        <w:t>’</w:t>
      </w:r>
      <w:r>
        <w:rPr>
          <w:rFonts w:ascii="Helvetica" w:hAnsi="Helvetica"/>
          <w:sz w:val="24"/>
          <w:szCs w:val="24"/>
          <w:rtl w:val="0"/>
          <w:lang w:val="nl-NL"/>
        </w:rPr>
        <w:t>s de inzet op het handhaven van foutparkeren kan verhogen;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daarbij een inschatting te geven welke kosten daarmee gemoeid zouden zijn en hoe de kosten van handhaving van foutparkeren gedrukt kunnen worden door dat gelijktijdig te doen met de handhaving van het betaald parkeren;</w:t>
      </w:r>
    </w:p>
    <w:p>
      <w:pPr>
        <w:pStyle w:val="Hoofdtekst"/>
        <w:numPr>
          <w:ilvl w:val="0"/>
          <w:numId w:val="2"/>
        </w:numPr>
        <w:rPr>
          <w:rFonts w:ascii="Helvetica" w:hAnsi="Helvetica"/>
          <w:sz w:val="24"/>
          <w:szCs w:val="24"/>
          <w:lang w:val="nl-NL"/>
        </w:rPr>
      </w:pPr>
      <w:r>
        <w:rPr>
          <w:rFonts w:ascii="Helvetica" w:hAnsi="Helvetica"/>
          <w:sz w:val="24"/>
          <w:szCs w:val="24"/>
          <w:rtl w:val="0"/>
          <w:lang w:val="nl-NL"/>
        </w:rPr>
        <w:t>de raad hiervan voor bij de begroting 2020 op de hoogte te stellen zodat de raad een onderbouwde keuze kan maken voor de inzet van handhaving op foutparkeren;</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en gaat over tot de orde van de dag</w:t>
      </w: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p>
    <w:p>
      <w:pPr>
        <w:pStyle w:val="Hoofdtekst"/>
        <w:rPr>
          <w:rFonts w:ascii="Helvetica" w:cs="Helvetica" w:hAnsi="Helvetica" w:eastAsia="Helvetica"/>
          <w:sz w:val="24"/>
          <w:szCs w:val="24"/>
        </w:rPr>
      </w:pPr>
      <w:r>
        <w:rPr>
          <w:rFonts w:ascii="Helvetica" w:hAnsi="Helvetica"/>
          <w:sz w:val="24"/>
          <w:szCs w:val="24"/>
          <w:rtl w:val="0"/>
          <w:lang w:val="nl-NL"/>
        </w:rPr>
        <w:t>Benni Leemhuis</w:t>
        <w:tab/>
        <w:t>Rik van Niejenhuis</w:t>
        <w:tab/>
        <w:t>Tessa Moorlag</w:t>
        <w:tab/>
        <w:t>Wim Koks</w:t>
      </w:r>
    </w:p>
    <w:p>
      <w:pPr>
        <w:pStyle w:val="Hoofdtekst"/>
      </w:pPr>
      <w:r>
        <w:rPr>
          <w:rFonts w:ascii="Helvetica" w:hAnsi="Helvetica"/>
          <w:sz w:val="24"/>
          <w:szCs w:val="24"/>
          <w:rtl w:val="0"/>
          <w:lang w:val="nl-NL"/>
        </w:rPr>
        <w:t>GroenLinks</w:t>
        <w:tab/>
        <w:tab/>
        <w:t>PvdA</w:t>
        <w:tab/>
        <w:tab/>
        <w:tab/>
        <w:t>ChristenUnie</w:t>
        <w:tab/>
        <w:tab/>
        <w:t>SP</w:t>
      </w:r>
    </w:p>
    <w:sectPr>
      <w:headerReference w:type="default" r:id="rId8"/>
      <w:footerReference w:type="default" r:id="rId9"/>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teken"/>
  </w:abstractNum>
  <w:abstractNum w:abstractNumId="1">
    <w:multiLevelType w:val="hybridMultilevel"/>
    <w:styleLink w:val="Ops.teken"/>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Hoofdtekst">
    <w:name w:val="Hoofdtekst"/>
    <w:next w:val="Hoofdteks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Ops.teken">
    <w:name w:val="Ops.teken"/>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2.tif"/><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