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80E" w:rsidRDefault="00086046">
      <w:pPr>
        <w:rPr>
          <w:rFonts w:ascii="Arial" w:eastAsia="Arial" w:hAnsi="Arial" w:cs="Arial"/>
          <w:color w:val="222222"/>
          <w:sz w:val="27"/>
          <w:szCs w:val="27"/>
          <w:u w:color="222222"/>
        </w:rPr>
      </w:pPr>
      <w:r>
        <w:rPr>
          <w:noProof/>
          <w:color w:val="0000FF"/>
          <w:u w:color="0000FF"/>
        </w:rPr>
        <w:drawing>
          <wp:inline distT="0" distB="0" distL="0" distR="0">
            <wp:extent cx="1252855" cy="885825"/>
            <wp:effectExtent l="0" t="0" r="0" b="0"/>
            <wp:docPr id="1073741825" name="officeArt object" descr="Afbeeldingsresultaat voor groenlinks"/>
            <wp:cNvGraphicFramePr/>
            <a:graphic xmlns:a="http://schemas.openxmlformats.org/drawingml/2006/main">
              <a:graphicData uri="http://schemas.openxmlformats.org/drawingml/2006/picture">
                <pic:pic xmlns:pic="http://schemas.openxmlformats.org/drawingml/2006/picture">
                  <pic:nvPicPr>
                    <pic:cNvPr id="1073741825" name="Afbeeldingsresultaat voor groenlinks" descr="Afbeeldingsresultaat voor groenlinks"/>
                    <pic:cNvPicPr>
                      <a:picLocks noChangeAspect="1"/>
                    </pic:cNvPicPr>
                  </pic:nvPicPr>
                  <pic:blipFill>
                    <a:blip r:embed="rId7">
                      <a:extLst/>
                    </a:blip>
                    <a:stretch>
                      <a:fillRect/>
                    </a:stretch>
                  </pic:blipFill>
                  <pic:spPr>
                    <a:xfrm>
                      <a:off x="0" y="0"/>
                      <a:ext cx="1252855" cy="885825"/>
                    </a:xfrm>
                    <a:prstGeom prst="rect">
                      <a:avLst/>
                    </a:prstGeom>
                    <a:ln w="12700" cap="flat">
                      <a:noFill/>
                      <a:miter lim="400000"/>
                    </a:ln>
                    <a:effectLst/>
                  </pic:spPr>
                </pic:pic>
              </a:graphicData>
            </a:graphic>
          </wp:inline>
        </w:drawing>
      </w:r>
      <w:r>
        <w:rPr>
          <w:rFonts w:ascii="Arial" w:hAnsi="Arial"/>
          <w:color w:val="0000FF"/>
          <w:sz w:val="27"/>
          <w:szCs w:val="27"/>
          <w:u w:color="0000FF"/>
        </w:rPr>
        <w:t xml:space="preserve"> </w:t>
      </w:r>
      <w:r>
        <w:rPr>
          <w:rFonts w:ascii="Arial" w:eastAsia="Arial" w:hAnsi="Arial" w:cs="Arial"/>
          <w:noProof/>
          <w:color w:val="0000FF"/>
          <w:sz w:val="27"/>
          <w:szCs w:val="27"/>
          <w:u w:color="0000FF"/>
        </w:rPr>
        <w:drawing>
          <wp:inline distT="0" distB="0" distL="0" distR="0">
            <wp:extent cx="1280099" cy="897806"/>
            <wp:effectExtent l="0" t="0" r="0" b="0"/>
            <wp:docPr id="1073741826" name="officeArt object" descr="Afbeeldingsresultaat voor pvda logo"/>
            <wp:cNvGraphicFramePr/>
            <a:graphic xmlns:a="http://schemas.openxmlformats.org/drawingml/2006/main">
              <a:graphicData uri="http://schemas.openxmlformats.org/drawingml/2006/picture">
                <pic:pic xmlns:pic="http://schemas.openxmlformats.org/drawingml/2006/picture">
                  <pic:nvPicPr>
                    <pic:cNvPr id="1073741826" name="Afbeeldingsresultaat voor pvda logo" descr="Afbeeldingsresultaat voor pvda logo"/>
                    <pic:cNvPicPr>
                      <a:picLocks noChangeAspect="1"/>
                    </pic:cNvPicPr>
                  </pic:nvPicPr>
                  <pic:blipFill>
                    <a:blip r:embed="rId8">
                      <a:extLst/>
                    </a:blip>
                    <a:stretch>
                      <a:fillRect/>
                    </a:stretch>
                  </pic:blipFill>
                  <pic:spPr>
                    <a:xfrm>
                      <a:off x="0" y="0"/>
                      <a:ext cx="1280099" cy="897806"/>
                    </a:xfrm>
                    <a:prstGeom prst="rect">
                      <a:avLst/>
                    </a:prstGeom>
                    <a:ln w="12700" cap="flat">
                      <a:noFill/>
                      <a:miter lim="400000"/>
                    </a:ln>
                    <a:effectLst/>
                  </pic:spPr>
                </pic:pic>
              </a:graphicData>
            </a:graphic>
          </wp:inline>
        </w:drawing>
      </w:r>
    </w:p>
    <w:p w:rsidR="000A480E" w:rsidRDefault="00086046">
      <w:pPr>
        <w:rPr>
          <w:sz w:val="24"/>
          <w:szCs w:val="24"/>
        </w:rPr>
      </w:pPr>
      <w:r>
        <w:rPr>
          <w:sz w:val="24"/>
          <w:szCs w:val="24"/>
        </w:rPr>
        <w:t>De gemeenteraad van Groningen, in vergadering bijeen op woensdag 18 oktober 2016,</w:t>
      </w:r>
    </w:p>
    <w:p w:rsidR="000A480E" w:rsidRDefault="00086046">
      <w:pPr>
        <w:rPr>
          <w:rFonts w:ascii="Arial" w:eastAsia="Arial" w:hAnsi="Arial" w:cs="Arial"/>
          <w:color w:val="212121"/>
          <w:sz w:val="26"/>
          <w:szCs w:val="26"/>
          <w:u w:color="212121"/>
          <w:shd w:val="clear" w:color="auto" w:fill="FFFFFF"/>
        </w:rPr>
      </w:pPr>
      <w:proofErr w:type="gramStart"/>
      <w:r>
        <w:rPr>
          <w:sz w:val="24"/>
          <w:szCs w:val="24"/>
        </w:rPr>
        <w:t>besprekende</w:t>
      </w:r>
      <w:proofErr w:type="gramEnd"/>
      <w:r>
        <w:rPr>
          <w:sz w:val="24"/>
          <w:szCs w:val="24"/>
        </w:rPr>
        <w:t xml:space="preserve"> de meerkostenregeling, </w:t>
      </w:r>
    </w:p>
    <w:p w:rsidR="000A480E" w:rsidRDefault="000A480E">
      <w:pPr>
        <w:rPr>
          <w:rFonts w:ascii="Arial" w:eastAsia="Arial" w:hAnsi="Arial" w:cs="Arial"/>
          <w:color w:val="212121"/>
          <w:sz w:val="26"/>
          <w:szCs w:val="26"/>
          <w:u w:color="212121"/>
          <w:shd w:val="clear" w:color="auto" w:fill="FFFFFF"/>
        </w:rPr>
      </w:pPr>
    </w:p>
    <w:p w:rsidR="000A480E" w:rsidRDefault="00086046">
      <w:pPr>
        <w:rPr>
          <w:color w:val="212121"/>
          <w:sz w:val="26"/>
          <w:szCs w:val="26"/>
          <w:u w:color="212121"/>
          <w:shd w:val="clear" w:color="auto" w:fill="FFFFFF"/>
        </w:rPr>
      </w:pPr>
      <w:r>
        <w:rPr>
          <w:color w:val="212121"/>
          <w:sz w:val="26"/>
          <w:szCs w:val="26"/>
          <w:u w:color="212121"/>
          <w:shd w:val="clear" w:color="auto" w:fill="FFFFFF"/>
        </w:rPr>
        <w:t>Constaterende dat:</w:t>
      </w:r>
    </w:p>
    <w:p w:rsidR="000A480E" w:rsidRDefault="00086046">
      <w:pPr>
        <w:pStyle w:val="Lijstalinea"/>
        <w:numPr>
          <w:ilvl w:val="0"/>
          <w:numId w:val="2"/>
        </w:numPr>
        <w:rPr>
          <w:color w:val="212121"/>
          <w:sz w:val="26"/>
          <w:szCs w:val="26"/>
          <w:u w:color="212121"/>
          <w:shd w:val="clear" w:color="auto" w:fill="FFFFFF"/>
        </w:rPr>
      </w:pPr>
      <w:r>
        <w:rPr>
          <w:color w:val="212121"/>
          <w:sz w:val="26"/>
          <w:szCs w:val="26"/>
          <w:u w:color="212121"/>
          <w:shd w:val="clear" w:color="auto" w:fill="FFFFFF"/>
        </w:rPr>
        <w:t>De gemeente Groningen een meerkostenregeling heeft, met als doel chronisch zieken en gehandicapten met een minimuminkomen financieel tegemoet te komen.</w:t>
      </w:r>
    </w:p>
    <w:p w:rsidR="000A480E" w:rsidRDefault="00086046">
      <w:pPr>
        <w:pStyle w:val="Lijstalinea"/>
        <w:numPr>
          <w:ilvl w:val="0"/>
          <w:numId w:val="2"/>
        </w:numPr>
        <w:rPr>
          <w:color w:val="212121"/>
          <w:sz w:val="26"/>
          <w:szCs w:val="26"/>
          <w:u w:color="212121"/>
          <w:shd w:val="clear" w:color="auto" w:fill="FFFFFF"/>
        </w:rPr>
      </w:pPr>
      <w:r>
        <w:rPr>
          <w:color w:val="212121"/>
          <w:sz w:val="26"/>
          <w:szCs w:val="26"/>
          <w:u w:color="212121"/>
          <w:shd w:val="clear" w:color="auto" w:fill="FFFFFF"/>
        </w:rPr>
        <w:t xml:space="preserve">Meerkosten vanwege chronische ziekte of handicap kunnen bestaan uit het verbruiken van het wettelijke eigen risico van de zorgverzekering en uit bijvoorbeeld andere eigen bijdragen en relatief hoge kosten voor levensonderhoud zoals kleding, voeding en stookkosten. </w:t>
      </w:r>
    </w:p>
    <w:p w:rsidR="000A480E" w:rsidRDefault="00086046">
      <w:pPr>
        <w:pStyle w:val="Lijstalinea"/>
        <w:numPr>
          <w:ilvl w:val="0"/>
          <w:numId w:val="2"/>
        </w:numPr>
        <w:rPr>
          <w:sz w:val="26"/>
          <w:szCs w:val="26"/>
          <w:u w:color="212121"/>
          <w:shd w:val="clear" w:color="auto" w:fill="FFFFFF"/>
        </w:rPr>
      </w:pPr>
      <w:r>
        <w:rPr>
          <w:sz w:val="26"/>
          <w:szCs w:val="26"/>
          <w:u w:color="212121"/>
          <w:shd w:val="clear" w:color="auto" w:fill="FFFFFF"/>
        </w:rPr>
        <w:t xml:space="preserve">De Q&amp;A van </w:t>
      </w:r>
      <w:proofErr w:type="gramStart"/>
      <w:r>
        <w:rPr>
          <w:sz w:val="26"/>
          <w:szCs w:val="26"/>
          <w:u w:color="212121"/>
          <w:shd w:val="clear" w:color="auto" w:fill="FFFFFF"/>
        </w:rPr>
        <w:t>WIJ</w:t>
      </w:r>
      <w:proofErr w:type="gramEnd"/>
      <w:r>
        <w:rPr>
          <w:sz w:val="26"/>
          <w:szCs w:val="26"/>
          <w:u w:color="212121"/>
          <w:shd w:val="clear" w:color="auto" w:fill="FFFFFF"/>
        </w:rPr>
        <w:t xml:space="preserve"> Groningen als voorbeelden van meerkosten extra taxikosten of vervoerkosten, extra hoge medicijnkosten of niet vergoede behandelingskosten noemt.</w:t>
      </w:r>
    </w:p>
    <w:p w:rsidR="000A480E" w:rsidRDefault="00086046">
      <w:pPr>
        <w:pStyle w:val="Lijstalinea"/>
        <w:numPr>
          <w:ilvl w:val="0"/>
          <w:numId w:val="2"/>
        </w:numPr>
        <w:rPr>
          <w:color w:val="212121"/>
          <w:sz w:val="26"/>
          <w:szCs w:val="26"/>
          <w:u w:color="212121"/>
          <w:shd w:val="clear" w:color="auto" w:fill="FFFFFF"/>
        </w:rPr>
      </w:pPr>
      <w:r>
        <w:rPr>
          <w:color w:val="212121"/>
          <w:sz w:val="26"/>
          <w:szCs w:val="26"/>
          <w:u w:color="212121"/>
          <w:shd w:val="clear" w:color="auto" w:fill="FFFFFF"/>
        </w:rPr>
        <w:t xml:space="preserve">Het college </w:t>
      </w:r>
      <w:proofErr w:type="gramStart"/>
      <w:r>
        <w:rPr>
          <w:color w:val="212121"/>
          <w:sz w:val="26"/>
          <w:szCs w:val="26"/>
          <w:u w:color="212121"/>
          <w:shd w:val="clear" w:color="auto" w:fill="FFFFFF"/>
        </w:rPr>
        <w:t xml:space="preserve">voorstelt </w:t>
      </w:r>
      <w:r w:rsidR="00912CC6">
        <w:rPr>
          <w:color w:val="212121"/>
          <w:sz w:val="26"/>
          <w:szCs w:val="26"/>
          <w:u w:color="212121"/>
          <w:shd w:val="clear" w:color="auto" w:fill="FFFFFF"/>
        </w:rPr>
        <w:t xml:space="preserve"> bij</w:t>
      </w:r>
      <w:proofErr w:type="gramEnd"/>
      <w:r w:rsidR="00912CC6">
        <w:rPr>
          <w:color w:val="212121"/>
          <w:sz w:val="26"/>
          <w:szCs w:val="26"/>
          <w:u w:color="212121"/>
          <w:shd w:val="clear" w:color="auto" w:fill="FFFFFF"/>
        </w:rPr>
        <w:t xml:space="preserve"> optie 2</w:t>
      </w:r>
      <w:r>
        <w:rPr>
          <w:color w:val="212121"/>
          <w:sz w:val="26"/>
          <w:szCs w:val="26"/>
          <w:u w:color="212121"/>
          <w:shd w:val="clear" w:color="auto" w:fill="FFFFFF"/>
        </w:rPr>
        <w:t xml:space="preserve"> het verbruiken van het wettelijk eigen risico toe te voegen om in aanmerking te kunnen k</w:t>
      </w:r>
      <w:r w:rsidR="00912CC6">
        <w:rPr>
          <w:color w:val="212121"/>
          <w:sz w:val="26"/>
          <w:szCs w:val="26"/>
          <w:u w:color="212121"/>
          <w:shd w:val="clear" w:color="auto" w:fill="FFFFFF"/>
        </w:rPr>
        <w:t>omen voor de meerkostenregeling.</w:t>
      </w:r>
    </w:p>
    <w:p w:rsidR="000A480E" w:rsidRDefault="00086046">
      <w:pPr>
        <w:pStyle w:val="Lijstalinea"/>
        <w:numPr>
          <w:ilvl w:val="0"/>
          <w:numId w:val="2"/>
        </w:numPr>
        <w:rPr>
          <w:sz w:val="26"/>
          <w:szCs w:val="26"/>
          <w:u w:color="212121"/>
          <w:shd w:val="clear" w:color="auto" w:fill="FFFFFF"/>
        </w:rPr>
      </w:pPr>
      <w:r>
        <w:rPr>
          <w:sz w:val="26"/>
          <w:szCs w:val="26"/>
          <w:u w:color="212121"/>
          <w:shd w:val="clear" w:color="auto" w:fill="FFFFFF"/>
        </w:rPr>
        <w:t>Hiermee bereikt moet worden dat de tegemoetkoming in ieder geval terecht komt bij mensen die het nodig hebben.</w:t>
      </w:r>
    </w:p>
    <w:p w:rsidR="000A480E" w:rsidRDefault="000A480E">
      <w:pPr>
        <w:rPr>
          <w:color w:val="FF0000"/>
          <w:sz w:val="26"/>
          <w:szCs w:val="26"/>
          <w:u w:color="212121"/>
        </w:rPr>
      </w:pPr>
    </w:p>
    <w:p w:rsidR="000A480E" w:rsidRDefault="00086046">
      <w:pPr>
        <w:rPr>
          <w:u w:color="212121"/>
          <w:shd w:val="clear" w:color="auto" w:fill="FFFFFF"/>
        </w:rPr>
      </w:pPr>
      <w:r>
        <w:rPr>
          <w:color w:val="212121"/>
          <w:sz w:val="26"/>
          <w:szCs w:val="26"/>
          <w:u w:color="212121"/>
          <w:shd w:val="clear" w:color="auto" w:fill="FFFFFF"/>
        </w:rPr>
        <w:t>Overwegende dat:</w:t>
      </w:r>
    </w:p>
    <w:p w:rsidR="000A480E" w:rsidRDefault="00086046">
      <w:pPr>
        <w:pStyle w:val="Lijstalinea"/>
        <w:numPr>
          <w:ilvl w:val="0"/>
          <w:numId w:val="4"/>
        </w:numPr>
        <w:rPr>
          <w:color w:val="212121"/>
          <w:sz w:val="26"/>
          <w:szCs w:val="26"/>
          <w:u w:color="212121"/>
          <w:shd w:val="clear" w:color="auto" w:fill="FFFFFF"/>
        </w:rPr>
      </w:pPr>
      <w:r>
        <w:rPr>
          <w:color w:val="212121"/>
          <w:sz w:val="26"/>
          <w:szCs w:val="26"/>
          <w:u w:color="212121"/>
          <w:shd w:val="clear" w:color="auto" w:fill="FFFFFF"/>
        </w:rPr>
        <w:t>Daadwerkelijke meerkosten niet enkel bestaan uit het verbruiken van het eigen risico, zoals hierboven geconstateerd.</w:t>
      </w:r>
    </w:p>
    <w:p w:rsidR="000A480E" w:rsidRDefault="00086046">
      <w:pPr>
        <w:pStyle w:val="Lijstalinea"/>
        <w:numPr>
          <w:ilvl w:val="0"/>
          <w:numId w:val="4"/>
        </w:numPr>
        <w:rPr>
          <w:color w:val="212121"/>
          <w:sz w:val="26"/>
          <w:szCs w:val="26"/>
          <w:u w:color="212121"/>
          <w:shd w:val="clear" w:color="auto" w:fill="FFFFFF"/>
        </w:rPr>
      </w:pPr>
      <w:r>
        <w:rPr>
          <w:color w:val="212121"/>
          <w:sz w:val="26"/>
          <w:szCs w:val="26"/>
          <w:u w:color="212121"/>
          <w:shd w:val="clear" w:color="auto" w:fill="FFFFFF"/>
        </w:rPr>
        <w:t>Het toevoegen van dit criterium</w:t>
      </w:r>
      <w:r w:rsidR="00912CC6">
        <w:rPr>
          <w:color w:val="212121"/>
          <w:sz w:val="26"/>
          <w:szCs w:val="26"/>
          <w:u w:color="212121"/>
          <w:shd w:val="clear" w:color="auto" w:fill="FFFFFF"/>
        </w:rPr>
        <w:t xml:space="preserve"> </w:t>
      </w:r>
      <w:proofErr w:type="gramStart"/>
      <w:r w:rsidR="00912CC6">
        <w:rPr>
          <w:color w:val="212121"/>
          <w:sz w:val="26"/>
          <w:szCs w:val="26"/>
          <w:u w:color="212121"/>
          <w:shd w:val="clear" w:color="auto" w:fill="FFFFFF"/>
        </w:rPr>
        <w:t>( optie</w:t>
      </w:r>
      <w:proofErr w:type="gramEnd"/>
      <w:r w:rsidR="00912CC6">
        <w:rPr>
          <w:color w:val="212121"/>
          <w:sz w:val="26"/>
          <w:szCs w:val="26"/>
          <w:u w:color="212121"/>
          <w:shd w:val="clear" w:color="auto" w:fill="FFFFFF"/>
        </w:rPr>
        <w:t xml:space="preserve"> 2)</w:t>
      </w:r>
      <w:r>
        <w:rPr>
          <w:color w:val="212121"/>
          <w:sz w:val="26"/>
          <w:szCs w:val="26"/>
          <w:u w:color="212121"/>
          <w:shd w:val="clear" w:color="auto" w:fill="FFFFFF"/>
        </w:rPr>
        <w:t xml:space="preserve"> en het mogelijk schrappen van andere criteria, gevolgen kan hebben voor chronisch zieken en gehandicapten die meerkosten hebben en ten onrechte uitgesloten worden van een tegemoetkoming.</w:t>
      </w:r>
    </w:p>
    <w:p w:rsidR="000A480E" w:rsidRDefault="00086046">
      <w:pPr>
        <w:pStyle w:val="Lijstalinea"/>
        <w:numPr>
          <w:ilvl w:val="0"/>
          <w:numId w:val="4"/>
        </w:numPr>
        <w:rPr>
          <w:color w:val="212121"/>
          <w:sz w:val="26"/>
          <w:szCs w:val="26"/>
          <w:u w:color="212121"/>
          <w:shd w:val="clear" w:color="auto" w:fill="FFFFFF"/>
        </w:rPr>
      </w:pPr>
      <w:r>
        <w:rPr>
          <w:color w:val="212121"/>
          <w:sz w:val="26"/>
          <w:szCs w:val="26"/>
          <w:u w:color="212121"/>
          <w:shd w:val="clear" w:color="auto" w:fill="FFFFFF"/>
        </w:rPr>
        <w:t>Dit nadelige gevolgen zal kunnen hebben voor gezinnen met chronische zieke of gehandicapte kinderen.</w:t>
      </w:r>
    </w:p>
    <w:p w:rsidR="000A480E" w:rsidRDefault="000A480E">
      <w:pPr>
        <w:rPr>
          <w:color w:val="212121"/>
          <w:sz w:val="26"/>
          <w:szCs w:val="26"/>
          <w:u w:color="212121"/>
        </w:rPr>
      </w:pPr>
    </w:p>
    <w:p w:rsidR="000A480E" w:rsidRDefault="00086046">
      <w:pPr>
        <w:rPr>
          <w:color w:val="212121"/>
          <w:sz w:val="26"/>
          <w:szCs w:val="26"/>
          <w:u w:color="212121"/>
          <w:shd w:val="clear" w:color="auto" w:fill="FFFFFF"/>
        </w:rPr>
      </w:pPr>
      <w:r>
        <w:rPr>
          <w:color w:val="212121"/>
          <w:sz w:val="26"/>
          <w:szCs w:val="26"/>
          <w:u w:color="212121"/>
          <w:shd w:val="clear" w:color="auto" w:fill="FFFFFF"/>
        </w:rPr>
        <w:t>Verzoekt het college om:</w:t>
      </w:r>
    </w:p>
    <w:p w:rsidR="000A480E" w:rsidRDefault="00086046" w:rsidP="00A24DA8">
      <w:pPr>
        <w:pStyle w:val="Lijstalinea"/>
        <w:numPr>
          <w:ilvl w:val="0"/>
          <w:numId w:val="6"/>
        </w:numPr>
        <w:rPr>
          <w:color w:val="212121"/>
          <w:sz w:val="26"/>
          <w:szCs w:val="26"/>
          <w:u w:color="212121"/>
          <w:shd w:val="clear" w:color="auto" w:fill="FFFFFF"/>
        </w:rPr>
      </w:pPr>
      <w:r>
        <w:rPr>
          <w:color w:val="212121"/>
          <w:sz w:val="26"/>
          <w:szCs w:val="26"/>
          <w:u w:color="212121"/>
          <w:shd w:val="clear" w:color="auto" w:fill="FFFFFF"/>
        </w:rPr>
        <w:t>Bij het uitwerken van de uitvoeringsregeling ervoor te zorgen dat chronisch zieken en gehandicapten die niet aan het eigen risico criterium voldoen, maar wel op andere wijze aannemelijk kunne</w:t>
      </w:r>
      <w:r w:rsidR="00165D62">
        <w:rPr>
          <w:color w:val="212121"/>
          <w:sz w:val="26"/>
          <w:szCs w:val="26"/>
          <w:u w:color="212121"/>
          <w:shd w:val="clear" w:color="auto" w:fill="FFFFFF"/>
        </w:rPr>
        <w:t xml:space="preserve">n maken dat zij </w:t>
      </w:r>
      <w:r w:rsidR="00912CC6">
        <w:rPr>
          <w:color w:val="212121"/>
          <w:sz w:val="26"/>
          <w:szCs w:val="26"/>
          <w:u w:color="212121"/>
          <w:shd w:val="clear" w:color="auto" w:fill="FFFFFF"/>
        </w:rPr>
        <w:t xml:space="preserve">hoge </w:t>
      </w:r>
      <w:r w:rsidR="00165D62">
        <w:rPr>
          <w:color w:val="212121"/>
          <w:sz w:val="26"/>
          <w:szCs w:val="26"/>
          <w:u w:color="212121"/>
          <w:shd w:val="clear" w:color="auto" w:fill="FFFFFF"/>
        </w:rPr>
        <w:t xml:space="preserve">meerkosten </w:t>
      </w:r>
      <w:r>
        <w:rPr>
          <w:color w:val="212121"/>
          <w:sz w:val="26"/>
          <w:szCs w:val="26"/>
          <w:u w:color="212121"/>
          <w:shd w:val="clear" w:color="auto" w:fill="FFFFFF"/>
        </w:rPr>
        <w:t>hebben</w:t>
      </w:r>
      <w:r w:rsidR="00A24DA8">
        <w:rPr>
          <w:color w:val="212121"/>
          <w:sz w:val="26"/>
          <w:szCs w:val="26"/>
          <w:u w:color="212121"/>
          <w:shd w:val="clear" w:color="auto" w:fill="FFFFFF"/>
        </w:rPr>
        <w:t xml:space="preserve"> va</w:t>
      </w:r>
      <w:bookmarkStart w:id="0" w:name="_GoBack"/>
      <w:bookmarkEnd w:id="0"/>
      <w:r w:rsidR="00A24DA8">
        <w:rPr>
          <w:color w:val="212121"/>
          <w:sz w:val="26"/>
          <w:szCs w:val="26"/>
          <w:u w:color="212121"/>
          <w:shd w:val="clear" w:color="auto" w:fill="FFFFFF"/>
        </w:rPr>
        <w:t xml:space="preserve">nwege chronische ziekte of handicap en </w:t>
      </w:r>
      <w:r w:rsidR="00A24DA8" w:rsidRPr="00A24DA8">
        <w:rPr>
          <w:color w:val="212121"/>
          <w:sz w:val="26"/>
          <w:szCs w:val="26"/>
          <w:u w:color="212121"/>
          <w:shd w:val="clear" w:color="auto" w:fill="FFFFFF"/>
        </w:rPr>
        <w:t>die niet elders voor vergoeding in aanmerking komen</w:t>
      </w:r>
      <w:r>
        <w:rPr>
          <w:color w:val="212121"/>
          <w:sz w:val="26"/>
          <w:szCs w:val="26"/>
          <w:u w:color="212121"/>
          <w:shd w:val="clear" w:color="auto" w:fill="FFFFFF"/>
        </w:rPr>
        <w:t xml:space="preserve">, op een tegemoetkoming kunnen blijven rekenen. </w:t>
      </w:r>
    </w:p>
    <w:p w:rsidR="000A480E" w:rsidRDefault="000A480E">
      <w:pPr>
        <w:rPr>
          <w:color w:val="212121"/>
          <w:sz w:val="26"/>
          <w:szCs w:val="26"/>
          <w:u w:color="212121"/>
          <w:shd w:val="clear" w:color="auto" w:fill="FFFFFF"/>
        </w:rPr>
      </w:pPr>
    </w:p>
    <w:p w:rsidR="00912CC6" w:rsidRDefault="00912CC6">
      <w:pPr>
        <w:rPr>
          <w:color w:val="212121"/>
          <w:sz w:val="26"/>
          <w:szCs w:val="26"/>
          <w:u w:color="212121"/>
          <w:shd w:val="clear" w:color="auto" w:fill="FFFFFF"/>
        </w:rPr>
      </w:pPr>
    </w:p>
    <w:p w:rsidR="000A480E" w:rsidRDefault="00086046">
      <w:pPr>
        <w:rPr>
          <w:color w:val="212121"/>
          <w:sz w:val="26"/>
          <w:szCs w:val="26"/>
          <w:u w:color="212121"/>
          <w:shd w:val="clear" w:color="auto" w:fill="FFFFFF"/>
        </w:rPr>
      </w:pPr>
      <w:r>
        <w:rPr>
          <w:color w:val="212121"/>
          <w:sz w:val="26"/>
          <w:szCs w:val="26"/>
          <w:u w:color="212121"/>
          <w:shd w:val="clear" w:color="auto" w:fill="FFFFFF"/>
        </w:rPr>
        <w:t>En gaan over tot de orde van de dag.</w:t>
      </w:r>
    </w:p>
    <w:p w:rsidR="000A480E" w:rsidRDefault="00086046">
      <w:pPr>
        <w:rPr>
          <w:color w:val="212121"/>
          <w:sz w:val="26"/>
          <w:szCs w:val="26"/>
          <w:u w:color="212121"/>
          <w:shd w:val="clear" w:color="auto" w:fill="FFFFFF"/>
        </w:rPr>
      </w:pPr>
      <w:r>
        <w:rPr>
          <w:color w:val="212121"/>
          <w:sz w:val="26"/>
          <w:szCs w:val="26"/>
          <w:u w:color="212121"/>
          <w:shd w:val="clear" w:color="auto" w:fill="FFFFFF"/>
        </w:rPr>
        <w:br/>
        <w:t xml:space="preserve">Namens </w:t>
      </w:r>
      <w:proofErr w:type="gramStart"/>
      <w:r>
        <w:rPr>
          <w:color w:val="212121"/>
          <w:sz w:val="26"/>
          <w:szCs w:val="26"/>
          <w:u w:color="212121"/>
          <w:shd w:val="clear" w:color="auto" w:fill="FFFFFF"/>
        </w:rPr>
        <w:t xml:space="preserve">PvdA,   </w:t>
      </w:r>
      <w:proofErr w:type="gramEnd"/>
      <w:r>
        <w:rPr>
          <w:color w:val="212121"/>
          <w:sz w:val="26"/>
          <w:szCs w:val="26"/>
          <w:u w:color="212121"/>
          <w:shd w:val="clear" w:color="auto" w:fill="FFFFFF"/>
        </w:rPr>
        <w:t xml:space="preserve">               GroenLinks </w:t>
      </w:r>
    </w:p>
    <w:p w:rsidR="000A480E" w:rsidRDefault="00086046">
      <w:pPr>
        <w:rPr>
          <w:color w:val="212121"/>
          <w:sz w:val="26"/>
          <w:szCs w:val="26"/>
          <w:u w:color="212121"/>
        </w:rPr>
      </w:pPr>
      <w:r>
        <w:rPr>
          <w:color w:val="212121"/>
          <w:sz w:val="26"/>
          <w:szCs w:val="26"/>
          <w:u w:color="212121"/>
          <w:shd w:val="clear" w:color="auto" w:fill="FFFFFF"/>
        </w:rPr>
        <w:t>K. Boogaard</w:t>
      </w:r>
      <w:r>
        <w:rPr>
          <w:color w:val="212121"/>
          <w:sz w:val="26"/>
          <w:szCs w:val="26"/>
          <w:u w:color="212121"/>
          <w:shd w:val="clear" w:color="auto" w:fill="FFFFFF"/>
        </w:rPr>
        <w:tab/>
      </w:r>
      <w:r>
        <w:rPr>
          <w:color w:val="212121"/>
          <w:sz w:val="26"/>
          <w:szCs w:val="26"/>
          <w:u w:color="212121"/>
          <w:shd w:val="clear" w:color="auto" w:fill="FFFFFF"/>
        </w:rPr>
        <w:tab/>
        <w:t xml:space="preserve">   </w:t>
      </w:r>
      <w:proofErr w:type="spellStart"/>
      <w:proofErr w:type="gramStart"/>
      <w:r>
        <w:rPr>
          <w:color w:val="212121"/>
          <w:sz w:val="26"/>
          <w:szCs w:val="26"/>
          <w:u w:color="212121"/>
          <w:shd w:val="clear" w:color="auto" w:fill="FFFFFF"/>
        </w:rPr>
        <w:t>G.Chakor</w:t>
      </w:r>
      <w:proofErr w:type="spellEnd"/>
      <w:proofErr w:type="gramEnd"/>
      <w:r>
        <w:rPr>
          <w:color w:val="212121"/>
          <w:sz w:val="26"/>
          <w:szCs w:val="26"/>
          <w:u w:color="212121"/>
          <w:shd w:val="clear" w:color="auto" w:fill="FFFFFF"/>
        </w:rPr>
        <w:br/>
      </w:r>
    </w:p>
    <w:p w:rsidR="000A480E" w:rsidRDefault="000A480E">
      <w:pPr>
        <w:spacing w:after="240" w:line="280" w:lineRule="atLeast"/>
        <w:rPr>
          <w:sz w:val="24"/>
          <w:szCs w:val="24"/>
        </w:rPr>
      </w:pPr>
    </w:p>
    <w:p w:rsidR="000A480E" w:rsidRDefault="000A480E">
      <w:pPr>
        <w:spacing w:after="240" w:line="280" w:lineRule="atLeast"/>
        <w:rPr>
          <w:sz w:val="24"/>
          <w:szCs w:val="24"/>
        </w:rPr>
      </w:pPr>
    </w:p>
    <w:p w:rsidR="000A480E" w:rsidRDefault="000A480E">
      <w:pPr>
        <w:spacing w:after="240" w:line="280" w:lineRule="atLeast"/>
        <w:rPr>
          <w:sz w:val="24"/>
          <w:szCs w:val="24"/>
        </w:rPr>
      </w:pPr>
    </w:p>
    <w:p w:rsidR="000A480E" w:rsidRDefault="000A480E">
      <w:pPr>
        <w:spacing w:after="240" w:line="280" w:lineRule="atLeast"/>
      </w:pPr>
    </w:p>
    <w:sectPr w:rsidR="000A480E">
      <w:headerReference w:type="default" r:id="rId9"/>
      <w:footerReference w:type="default" r:id="rId10"/>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A47" w:rsidRDefault="002C7A47">
      <w:r>
        <w:separator/>
      </w:r>
    </w:p>
  </w:endnote>
  <w:endnote w:type="continuationSeparator" w:id="0">
    <w:p w:rsidR="002C7A47" w:rsidRDefault="002C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0E" w:rsidRDefault="000A480E">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A47" w:rsidRDefault="002C7A47">
      <w:r>
        <w:separator/>
      </w:r>
    </w:p>
  </w:footnote>
  <w:footnote w:type="continuationSeparator" w:id="0">
    <w:p w:rsidR="002C7A47" w:rsidRDefault="002C7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80E" w:rsidRDefault="000A480E">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5714D"/>
    <w:multiLevelType w:val="hybridMultilevel"/>
    <w:tmpl w:val="B0DC87FE"/>
    <w:styleLink w:val="Gemporteerdestijl3"/>
    <w:lvl w:ilvl="0" w:tplc="9402A3E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E6AC4E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E34E4B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FC62F5F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4749E2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A7AF2A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3A4749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8A4EB9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0FE736E">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4E813CD"/>
    <w:multiLevelType w:val="hybridMultilevel"/>
    <w:tmpl w:val="DC78950E"/>
    <w:numStyleLink w:val="Gemporteerdestijl1"/>
  </w:abstractNum>
  <w:abstractNum w:abstractNumId="2" w15:restartNumberingAfterBreak="0">
    <w:nsid w:val="5CE519AE"/>
    <w:multiLevelType w:val="hybridMultilevel"/>
    <w:tmpl w:val="DC78950E"/>
    <w:styleLink w:val="Gemporteerdestijl1"/>
    <w:lvl w:ilvl="0" w:tplc="A0626752">
      <w:start w:val="1"/>
      <w:numFmt w:val="bullet"/>
      <w:lvlText w:val="-"/>
      <w:lvlJc w:val="left"/>
      <w:pPr>
        <w:ind w:left="97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4900EAA">
      <w:start w:val="1"/>
      <w:numFmt w:val="bullet"/>
      <w:lvlText w:val="o"/>
      <w:lvlJc w:val="left"/>
      <w:pPr>
        <w:ind w:left="169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10A0CE4">
      <w:start w:val="1"/>
      <w:numFmt w:val="bullet"/>
      <w:lvlText w:val="▪"/>
      <w:lvlJc w:val="left"/>
      <w:pPr>
        <w:ind w:left="241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2DC1D44">
      <w:start w:val="1"/>
      <w:numFmt w:val="bullet"/>
      <w:lvlText w:val="•"/>
      <w:lvlJc w:val="left"/>
      <w:pPr>
        <w:ind w:left="313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55E37B2">
      <w:start w:val="1"/>
      <w:numFmt w:val="bullet"/>
      <w:lvlText w:val="o"/>
      <w:lvlJc w:val="left"/>
      <w:pPr>
        <w:ind w:left="385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5FC6E96">
      <w:start w:val="1"/>
      <w:numFmt w:val="bullet"/>
      <w:lvlText w:val="▪"/>
      <w:lvlJc w:val="left"/>
      <w:pPr>
        <w:ind w:left="457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0BFC1560">
      <w:start w:val="1"/>
      <w:numFmt w:val="bullet"/>
      <w:lvlText w:val="•"/>
      <w:lvlJc w:val="left"/>
      <w:pPr>
        <w:ind w:left="529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04A4AFE">
      <w:start w:val="1"/>
      <w:numFmt w:val="bullet"/>
      <w:lvlText w:val="o"/>
      <w:lvlJc w:val="left"/>
      <w:pPr>
        <w:ind w:left="601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DEEE30C">
      <w:start w:val="1"/>
      <w:numFmt w:val="bullet"/>
      <w:lvlText w:val="▪"/>
      <w:lvlJc w:val="left"/>
      <w:pPr>
        <w:ind w:left="673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012433A"/>
    <w:multiLevelType w:val="hybridMultilevel"/>
    <w:tmpl w:val="89528AC6"/>
    <w:styleLink w:val="Gemporteerdestijl2"/>
    <w:lvl w:ilvl="0" w:tplc="3582467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BE0B6CA">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7AEEF2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1C6C42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1ACF6C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75000E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188BFB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00C86FC">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612F94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CDB42FD"/>
    <w:multiLevelType w:val="hybridMultilevel"/>
    <w:tmpl w:val="B0DC87FE"/>
    <w:numStyleLink w:val="Gemporteerdestijl3"/>
  </w:abstractNum>
  <w:abstractNum w:abstractNumId="5" w15:restartNumberingAfterBreak="0">
    <w:nsid w:val="7E125CD3"/>
    <w:multiLevelType w:val="hybridMultilevel"/>
    <w:tmpl w:val="89528AC6"/>
    <w:numStyleLink w:val="Gemporteerdestijl2"/>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80E"/>
    <w:rsid w:val="00086046"/>
    <w:rsid w:val="000A480E"/>
    <w:rsid w:val="00165D62"/>
    <w:rsid w:val="002C7A47"/>
    <w:rsid w:val="00912CC6"/>
    <w:rsid w:val="00A24DA8"/>
    <w:rsid w:val="00B72F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7A16"/>
  <w15:docId w15:val="{CC8D0B97-E172-4CD2-87C1-5B84968C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Pr>
      <w:rFonts w:ascii="Helvetica" w:hAnsi="Helvetica" w:cs="Arial Unicode MS"/>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paragraph" w:styleId="Lijstalinea">
    <w:name w:val="List Paragraph"/>
    <w:pPr>
      <w:ind w:left="720"/>
    </w:pPr>
    <w:rPr>
      <w:rFonts w:ascii="Helvetica" w:hAnsi="Helvetica" w:cs="Arial Unicode MS"/>
      <w:color w:val="000000"/>
      <w:sz w:val="22"/>
      <w:szCs w:val="22"/>
      <w:u w:color="000000"/>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numbering" w:customStyle="1" w:styleId="Gemporteerdestijl3">
    <w:name w:val="Geïmporteerde stijl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1661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boogaard</dc:creator>
  <cp:lastModifiedBy>krista boogaard</cp:lastModifiedBy>
  <cp:revision>2</cp:revision>
  <dcterms:created xsi:type="dcterms:W3CDTF">2017-10-16T10:45:00Z</dcterms:created>
  <dcterms:modified xsi:type="dcterms:W3CDTF">2017-10-16T10:45:00Z</dcterms:modified>
</cp:coreProperties>
</file>